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shd w:val="clear" w:color="auto" w:fill="F9FAFC"/>
        <w:tblCellMar>
          <w:left w:w="0" w:type="dxa"/>
          <w:right w:w="0" w:type="dxa"/>
        </w:tblCellMar>
        <w:tblLook w:val="04A0" w:firstRow="1" w:lastRow="0" w:firstColumn="1" w:lastColumn="0" w:noHBand="0" w:noVBand="1"/>
      </w:tblPr>
      <w:tblGrid>
        <w:gridCol w:w="9672"/>
      </w:tblGrid>
      <w:tr w:rsidR="0072241D" w:rsidRPr="0072241D" w14:paraId="70DA28A0" w14:textId="77777777" w:rsidTr="0072241D">
        <w:trPr>
          <w:jc w:val="center"/>
        </w:trPr>
        <w:tc>
          <w:tcPr>
            <w:tcW w:w="0" w:type="auto"/>
            <w:shd w:val="clear" w:color="auto" w:fill="FFFFFF"/>
            <w:tcMar>
              <w:top w:w="300" w:type="dxa"/>
              <w:left w:w="300" w:type="dxa"/>
              <w:bottom w:w="30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072"/>
            </w:tblGrid>
            <w:tr w:rsidR="0072241D" w:rsidRPr="0072241D" w14:paraId="209D1C48" w14:textId="77777777">
              <w:tc>
                <w:tcPr>
                  <w:tcW w:w="5000" w:type="pct"/>
                  <w:hideMark/>
                </w:tcPr>
                <w:tbl>
                  <w:tblPr>
                    <w:tblW w:w="5000" w:type="pct"/>
                    <w:tblCellMar>
                      <w:left w:w="0" w:type="dxa"/>
                      <w:right w:w="0" w:type="dxa"/>
                    </w:tblCellMar>
                    <w:tblLook w:val="04A0" w:firstRow="1" w:lastRow="0" w:firstColumn="1" w:lastColumn="0" w:noHBand="0" w:noVBand="1"/>
                  </w:tblPr>
                  <w:tblGrid>
                    <w:gridCol w:w="9072"/>
                  </w:tblGrid>
                  <w:tr w:rsidR="0072241D" w:rsidRPr="0072241D" w14:paraId="19C8642D" w14:textId="77777777">
                    <w:tc>
                      <w:tcPr>
                        <w:tcW w:w="0" w:type="auto"/>
                        <w:tcMar>
                          <w:top w:w="0" w:type="dxa"/>
                          <w:left w:w="75" w:type="dxa"/>
                          <w:bottom w:w="0" w:type="dxa"/>
                          <w:right w:w="75" w:type="dxa"/>
                        </w:tcMar>
                        <w:hideMark/>
                      </w:tcPr>
                      <w:tbl>
                        <w:tblPr>
                          <w:tblW w:w="5000" w:type="pct"/>
                          <w:tblCellMar>
                            <w:left w:w="0" w:type="dxa"/>
                            <w:right w:w="0" w:type="dxa"/>
                          </w:tblCellMar>
                          <w:tblLook w:val="04A0" w:firstRow="1" w:lastRow="0" w:firstColumn="1" w:lastColumn="0" w:noHBand="0" w:noVBand="1"/>
                        </w:tblPr>
                        <w:tblGrid>
                          <w:gridCol w:w="8922"/>
                        </w:tblGrid>
                        <w:tr w:rsidR="0072241D" w:rsidRPr="0072241D" w14:paraId="55E40685" w14:textId="77777777">
                          <w:tc>
                            <w:tcPr>
                              <w:tcW w:w="0" w:type="auto"/>
                              <w:vAlign w:val="center"/>
                              <w:hideMark/>
                            </w:tcPr>
                            <w:tbl>
                              <w:tblPr>
                                <w:tblW w:w="8250" w:type="dxa"/>
                                <w:jc w:val="center"/>
                                <w:tblCellMar>
                                  <w:left w:w="0" w:type="dxa"/>
                                  <w:right w:w="0" w:type="dxa"/>
                                </w:tblCellMar>
                                <w:tblLook w:val="04A0" w:firstRow="1" w:lastRow="0" w:firstColumn="1" w:lastColumn="0" w:noHBand="0" w:noVBand="1"/>
                              </w:tblPr>
                              <w:tblGrid>
                                <w:gridCol w:w="8714"/>
                              </w:tblGrid>
                              <w:tr w:rsidR="0072241D" w:rsidRPr="0072241D" w14:paraId="23DFD8AF" w14:textId="77777777">
                                <w:trPr>
                                  <w:jc w:val="center"/>
                                </w:trPr>
                                <w:tc>
                                  <w:tcPr>
                                    <w:tcW w:w="0" w:type="auto"/>
                                    <w:vAlign w:val="center"/>
                                    <w:hideMark/>
                                  </w:tcPr>
                                  <w:p w14:paraId="0C974FDF" w14:textId="6B4D542B" w:rsidR="0072241D" w:rsidRPr="0072241D" w:rsidRDefault="0072241D" w:rsidP="0072241D">
                                    <w:r w:rsidRPr="0072241D">
                                      <w:drawing>
                                        <wp:inline distT="0" distB="0" distL="0" distR="0" wp14:anchorId="5B23EF11" wp14:editId="15D6A02B">
                                          <wp:extent cx="5533901" cy="1199515"/>
                                          <wp:effectExtent l="0" t="0" r="0" b="0"/>
                                          <wp:docPr id="190621189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36466" cy="1200071"/>
                                                  </a:xfrm>
                                                  <a:prstGeom prst="rect">
                                                    <a:avLst/>
                                                  </a:prstGeom>
                                                  <a:noFill/>
                                                  <a:ln>
                                                    <a:noFill/>
                                                  </a:ln>
                                                </pic:spPr>
                                              </pic:pic>
                                            </a:graphicData>
                                          </a:graphic>
                                        </wp:inline>
                                      </w:drawing>
                                    </w:r>
                                  </w:p>
                                </w:tc>
                              </w:tr>
                            </w:tbl>
                            <w:p w14:paraId="5D886DAA" w14:textId="77777777" w:rsidR="0072241D" w:rsidRPr="0072241D" w:rsidRDefault="0072241D" w:rsidP="0072241D"/>
                          </w:tc>
                        </w:tr>
                      </w:tbl>
                      <w:p w14:paraId="27DB0E82" w14:textId="77777777" w:rsidR="0072241D" w:rsidRPr="0072241D" w:rsidRDefault="0072241D" w:rsidP="0072241D"/>
                    </w:tc>
                  </w:tr>
                </w:tbl>
                <w:p w14:paraId="37B7C8BF" w14:textId="77777777" w:rsidR="0072241D" w:rsidRPr="0072241D" w:rsidRDefault="0072241D" w:rsidP="0072241D"/>
              </w:tc>
            </w:tr>
          </w:tbl>
          <w:p w14:paraId="4652C847" w14:textId="77777777" w:rsidR="0072241D" w:rsidRPr="0072241D" w:rsidRDefault="0072241D" w:rsidP="0072241D"/>
        </w:tc>
      </w:tr>
    </w:tbl>
    <w:p w14:paraId="7C558459" w14:textId="77777777" w:rsidR="0072241D" w:rsidRPr="0072241D" w:rsidRDefault="0072241D" w:rsidP="0072241D">
      <w:pPr>
        <w:rPr>
          <w:vanish/>
        </w:rPr>
      </w:pPr>
    </w:p>
    <w:tbl>
      <w:tblPr>
        <w:tblW w:w="5000" w:type="pct"/>
        <w:jc w:val="center"/>
        <w:shd w:val="clear" w:color="auto" w:fill="F9FAFC"/>
        <w:tblCellMar>
          <w:left w:w="0" w:type="dxa"/>
          <w:right w:w="0" w:type="dxa"/>
        </w:tblCellMar>
        <w:tblLook w:val="04A0" w:firstRow="1" w:lastRow="0" w:firstColumn="1" w:lastColumn="0" w:noHBand="0" w:noVBand="1"/>
      </w:tblPr>
      <w:tblGrid>
        <w:gridCol w:w="9672"/>
      </w:tblGrid>
      <w:tr w:rsidR="0072241D" w:rsidRPr="0072241D" w14:paraId="41DA0A21" w14:textId="77777777" w:rsidTr="0072241D">
        <w:trPr>
          <w:jc w:val="center"/>
        </w:trPr>
        <w:tc>
          <w:tcPr>
            <w:tcW w:w="0" w:type="auto"/>
            <w:shd w:val="clear" w:color="auto" w:fill="FFFFFF"/>
            <w:tcMar>
              <w:top w:w="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072"/>
            </w:tblGrid>
            <w:tr w:rsidR="0072241D" w:rsidRPr="0072241D" w14:paraId="2C6334B4" w14:textId="77777777">
              <w:tc>
                <w:tcPr>
                  <w:tcW w:w="5000" w:type="pct"/>
                  <w:hideMark/>
                </w:tcPr>
                <w:tbl>
                  <w:tblPr>
                    <w:tblW w:w="5000" w:type="pct"/>
                    <w:tblCellMar>
                      <w:left w:w="0" w:type="dxa"/>
                      <w:right w:w="0" w:type="dxa"/>
                    </w:tblCellMar>
                    <w:tblLook w:val="04A0" w:firstRow="1" w:lastRow="0" w:firstColumn="1" w:lastColumn="0" w:noHBand="0" w:noVBand="1"/>
                  </w:tblPr>
                  <w:tblGrid>
                    <w:gridCol w:w="9072"/>
                  </w:tblGrid>
                  <w:tr w:rsidR="0072241D" w:rsidRPr="0072241D" w14:paraId="059EF402" w14:textId="77777777">
                    <w:tc>
                      <w:tcPr>
                        <w:tcW w:w="0" w:type="auto"/>
                        <w:tcMar>
                          <w:top w:w="0" w:type="dxa"/>
                          <w:left w:w="75" w:type="dxa"/>
                          <w:bottom w:w="0" w:type="dxa"/>
                          <w:right w:w="75" w:type="dxa"/>
                        </w:tcMar>
                        <w:hideMark/>
                      </w:tcPr>
                      <w:tbl>
                        <w:tblPr>
                          <w:tblW w:w="5000" w:type="pct"/>
                          <w:tblCellMar>
                            <w:left w:w="0" w:type="dxa"/>
                            <w:right w:w="0" w:type="dxa"/>
                          </w:tblCellMar>
                          <w:tblLook w:val="04A0" w:firstRow="1" w:lastRow="0" w:firstColumn="1" w:lastColumn="0" w:noHBand="0" w:noVBand="1"/>
                        </w:tblPr>
                        <w:tblGrid>
                          <w:gridCol w:w="8922"/>
                        </w:tblGrid>
                        <w:tr w:rsidR="0072241D" w:rsidRPr="0072241D" w14:paraId="05EC2269"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922"/>
                              </w:tblGrid>
                              <w:tr w:rsidR="0072241D" w:rsidRPr="0072241D" w14:paraId="184ECFB2" w14:textId="77777777">
                                <w:tc>
                                  <w:tcPr>
                                    <w:tcW w:w="0" w:type="auto"/>
                                    <w:tcMar>
                                      <w:top w:w="150" w:type="dxa"/>
                                      <w:left w:w="0" w:type="dxa"/>
                                      <w:bottom w:w="150" w:type="dxa"/>
                                      <w:right w:w="0" w:type="dxa"/>
                                    </w:tcMar>
                                    <w:hideMark/>
                                  </w:tcPr>
                                  <w:p w14:paraId="77C33ED8" w14:textId="77777777" w:rsidR="0072241D" w:rsidRPr="0072241D" w:rsidRDefault="0072241D" w:rsidP="0072241D">
                                    <w:r w:rsidRPr="0072241D">
                                      <w:rPr>
                                        <w:b/>
                                        <w:bCs/>
                                      </w:rPr>
                                      <w:t>L'obligation des kinésithérapeutes de suivre la formation AFGSU 2</w:t>
                                    </w:r>
                                  </w:p>
                                </w:tc>
                              </w:tr>
                            </w:tbl>
                            <w:p w14:paraId="22829072" w14:textId="77777777" w:rsidR="0072241D" w:rsidRPr="0072241D" w:rsidRDefault="0072241D" w:rsidP="0072241D"/>
                          </w:tc>
                        </w:tr>
                      </w:tbl>
                      <w:p w14:paraId="4EF0C413" w14:textId="77777777" w:rsidR="0072241D" w:rsidRPr="0072241D" w:rsidRDefault="0072241D" w:rsidP="0072241D"/>
                    </w:tc>
                  </w:tr>
                </w:tbl>
                <w:p w14:paraId="3E03A1CE" w14:textId="77777777" w:rsidR="0072241D" w:rsidRPr="0072241D" w:rsidRDefault="0072241D" w:rsidP="0072241D"/>
              </w:tc>
            </w:tr>
          </w:tbl>
          <w:p w14:paraId="74E9A133" w14:textId="77777777" w:rsidR="0072241D" w:rsidRPr="0072241D" w:rsidRDefault="0072241D" w:rsidP="0072241D"/>
        </w:tc>
      </w:tr>
    </w:tbl>
    <w:p w14:paraId="64C35D57" w14:textId="77777777" w:rsidR="0072241D" w:rsidRPr="0072241D" w:rsidRDefault="0072241D" w:rsidP="0072241D">
      <w:pPr>
        <w:rPr>
          <w:vanish/>
        </w:rPr>
      </w:pPr>
    </w:p>
    <w:tbl>
      <w:tblPr>
        <w:tblW w:w="5000" w:type="pct"/>
        <w:jc w:val="center"/>
        <w:shd w:val="clear" w:color="auto" w:fill="F9FAFC"/>
        <w:tblCellMar>
          <w:left w:w="0" w:type="dxa"/>
          <w:right w:w="0" w:type="dxa"/>
        </w:tblCellMar>
        <w:tblLook w:val="04A0" w:firstRow="1" w:lastRow="0" w:firstColumn="1" w:lastColumn="0" w:noHBand="0" w:noVBand="1"/>
      </w:tblPr>
      <w:tblGrid>
        <w:gridCol w:w="9672"/>
      </w:tblGrid>
      <w:tr w:rsidR="0072241D" w:rsidRPr="0072241D" w14:paraId="6161C837" w14:textId="77777777" w:rsidTr="0072241D">
        <w:trPr>
          <w:jc w:val="center"/>
        </w:trPr>
        <w:tc>
          <w:tcPr>
            <w:tcW w:w="0" w:type="auto"/>
            <w:shd w:val="clear" w:color="auto" w:fill="FFFFFF"/>
            <w:tcMar>
              <w:top w:w="300" w:type="dxa"/>
              <w:left w:w="300" w:type="dxa"/>
              <w:bottom w:w="30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072"/>
            </w:tblGrid>
            <w:tr w:rsidR="0072241D" w:rsidRPr="0072241D" w14:paraId="34832127" w14:textId="77777777">
              <w:tc>
                <w:tcPr>
                  <w:tcW w:w="5000" w:type="pct"/>
                  <w:hideMark/>
                </w:tcPr>
                <w:tbl>
                  <w:tblPr>
                    <w:tblW w:w="5000" w:type="pct"/>
                    <w:tblCellMar>
                      <w:left w:w="0" w:type="dxa"/>
                      <w:right w:w="0" w:type="dxa"/>
                    </w:tblCellMar>
                    <w:tblLook w:val="04A0" w:firstRow="1" w:lastRow="0" w:firstColumn="1" w:lastColumn="0" w:noHBand="0" w:noVBand="1"/>
                  </w:tblPr>
                  <w:tblGrid>
                    <w:gridCol w:w="9072"/>
                  </w:tblGrid>
                  <w:tr w:rsidR="0072241D" w:rsidRPr="0072241D" w14:paraId="794E6BEF" w14:textId="77777777">
                    <w:tc>
                      <w:tcPr>
                        <w:tcW w:w="0" w:type="auto"/>
                        <w:hideMark/>
                      </w:tcPr>
                      <w:tbl>
                        <w:tblPr>
                          <w:tblW w:w="5000" w:type="pct"/>
                          <w:tblCellMar>
                            <w:left w:w="0" w:type="dxa"/>
                            <w:right w:w="0" w:type="dxa"/>
                          </w:tblCellMar>
                          <w:tblLook w:val="04A0" w:firstRow="1" w:lastRow="0" w:firstColumn="1" w:lastColumn="0" w:noHBand="0" w:noVBand="1"/>
                        </w:tblPr>
                        <w:tblGrid>
                          <w:gridCol w:w="9072"/>
                        </w:tblGrid>
                        <w:tr w:rsidR="0072241D" w:rsidRPr="0072241D" w14:paraId="196AA4CD"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72"/>
                              </w:tblGrid>
                              <w:tr w:rsidR="0072241D" w:rsidRPr="0072241D" w14:paraId="7767C006" w14:textId="77777777">
                                <w:tc>
                                  <w:tcPr>
                                    <w:tcW w:w="0" w:type="auto"/>
                                    <w:tcMar>
                                      <w:top w:w="0" w:type="dxa"/>
                                      <w:left w:w="45" w:type="dxa"/>
                                      <w:bottom w:w="0" w:type="dxa"/>
                                      <w:right w:w="45" w:type="dxa"/>
                                    </w:tcMar>
                                    <w:hideMark/>
                                  </w:tcPr>
                                  <w:p w14:paraId="35E0CC24" w14:textId="448BDF82" w:rsidR="0072241D" w:rsidRPr="0072241D" w:rsidRDefault="0072241D" w:rsidP="0072241D">
                                    <w:r w:rsidRPr="0072241D">
                                      <w:t>Chères consœurs, chers confrères,</w:t>
                                    </w:r>
                                  </w:p>
                                  <w:p w14:paraId="1BF31422" w14:textId="50C47BB0" w:rsidR="0072241D" w:rsidRPr="0072241D" w:rsidRDefault="0072241D" w:rsidP="0072241D">
                                    <w:r w:rsidRPr="0072241D">
                                      <w:t>Les kinésithérapeutes exerçant en établissement de santé ou en libéral ont l'obligation de suivre l'</w:t>
                                    </w:r>
                                    <w:r w:rsidRPr="0072241D">
                                      <w:rPr>
                                        <w:b/>
                                        <w:bCs/>
                                      </w:rPr>
                                      <w:t>Attestation de Formation aux Gestes et Soins d'Urgence de niveau 2 (AFGSU 2) tous les quatre ans</w:t>
                                    </w:r>
                                    <w:r w:rsidRPr="0072241D">
                                      <w:t>. Cette formation vise à garantir que les professionnels de santé maîtrisent les gestes d'urgence vitale et savent réagir en cas de situations critiques.</w:t>
                                    </w:r>
                                  </w:p>
                                  <w:p w14:paraId="57582F99" w14:textId="77777777" w:rsidR="0072241D" w:rsidRPr="0072241D" w:rsidRDefault="0072241D" w:rsidP="0072241D">
                                    <w:r w:rsidRPr="0072241D">
                                      <w:t> </w:t>
                                    </w:r>
                                  </w:p>
                                  <w:p w14:paraId="0573DFF9" w14:textId="3FAAF408" w:rsidR="0072241D" w:rsidRPr="0072241D" w:rsidRDefault="0072241D" w:rsidP="0072241D">
                                    <w:r w:rsidRPr="0072241D">
                                      <w:rPr>
                                        <w:b/>
                                        <w:bCs/>
                                      </w:rPr>
                                      <w:t>Pourquoi cette obligation ?</w:t>
                                    </w:r>
                                  </w:p>
                                  <w:p w14:paraId="1C7F1B1A" w14:textId="07759D2B" w:rsidR="0072241D" w:rsidRPr="0072241D" w:rsidRDefault="0072241D" w:rsidP="0072241D">
                                    <w:r w:rsidRPr="0072241D">
                                      <w:t>L'AFGSU 2 permet d'acquérir et de maintenir les compétences nécessaires pour intervenir efficacement face à des </w:t>
                                    </w:r>
                                    <w:r w:rsidRPr="0072241D">
                                      <w:rPr>
                                        <w:b/>
                                        <w:bCs/>
                                      </w:rPr>
                                      <w:t>urgences médicales</w:t>
                                    </w:r>
                                    <w:r w:rsidRPr="0072241D">
                                      <w:t>, notamment les arrêts cardiaques, les détresses respiratoires ou les situations exceptionnelles (attentats, catastrophes, etc.). Cette formation est encadrée par l'arrêté du 30 décembre 2014 et s'inscrit dans une démarche de formation continue obligatoire pour les professionnels de santé.</w:t>
                                    </w:r>
                                  </w:p>
                                  <w:p w14:paraId="533F867E" w14:textId="77777777" w:rsidR="0072241D" w:rsidRPr="0072241D" w:rsidRDefault="0072241D" w:rsidP="0072241D">
                                    <w:r w:rsidRPr="0072241D">
                                      <w:t> </w:t>
                                    </w:r>
                                  </w:p>
                                  <w:p w14:paraId="67A3248F" w14:textId="6CE36BA3" w:rsidR="0072241D" w:rsidRPr="0072241D" w:rsidRDefault="0072241D" w:rsidP="0072241D">
                                    <w:r w:rsidRPr="0072241D">
                                      <w:rPr>
                                        <w:b/>
                                        <w:bCs/>
                                      </w:rPr>
                                      <w:t>Que faire en cas de dépassement des 4 ans ?</w:t>
                                    </w:r>
                                  </w:p>
                                  <w:p w14:paraId="78BE75EF" w14:textId="77777777" w:rsidR="0072241D" w:rsidRPr="0072241D" w:rsidRDefault="0072241D" w:rsidP="0072241D">
                                    <w:r w:rsidRPr="0072241D">
                                      <w:t>La formation de recyclage AFGSU 2 doit être suivie </w:t>
                                    </w:r>
                                    <w:r w:rsidRPr="0072241D">
                                      <w:rPr>
                                        <w:b/>
                                        <w:bCs/>
                                      </w:rPr>
                                      <w:t>avant la date de fin de validité de l’AFGSU 2, qui est valable quatre ans</w:t>
                                    </w:r>
                                    <w:r w:rsidRPr="0072241D">
                                      <w:t>. Si vous n’avez pas renouvelé votre AFGSU 2 avant sa date limite, vous devez suivre à nouveau la formation AFGSU 2 initiale dans un organisme habilité.</w:t>
                                    </w:r>
                                  </w:p>
                                  <w:p w14:paraId="3DBF58EC" w14:textId="77777777" w:rsidR="0072241D" w:rsidRPr="0072241D" w:rsidRDefault="0072241D" w:rsidP="0072241D">
                                    <w:r w:rsidRPr="0072241D">
                                      <w:t>Il est donc essentiel d’anticiper son renouvellement afin d’éviter cette obligation de reprise complète, qui implique </w:t>
                                    </w:r>
                                    <w:r w:rsidRPr="0072241D">
                                      <w:rPr>
                                        <w:b/>
                                        <w:bCs/>
                                      </w:rPr>
                                      <w:t>un temps de formation plus long</w:t>
                                    </w:r>
                                    <w:r w:rsidRPr="0072241D">
                                      <w:t>. Pour ce faire, il est recommandé de planifier la session de recyclage en amont et de vérifier les prises en charge possibles, notamment via le DPC (Développement Professionnel Continu).</w:t>
                                    </w:r>
                                  </w:p>
                                  <w:p w14:paraId="70C31C64" w14:textId="1D599485" w:rsidR="0072241D" w:rsidRPr="0072241D" w:rsidRDefault="0072241D" w:rsidP="0072241D"/>
                                  <w:p w14:paraId="4359AE77" w14:textId="77777777" w:rsidR="0072241D" w:rsidRDefault="0072241D" w:rsidP="0072241D">
                                    <w:r w:rsidRPr="0072241D">
                                      <w:t>Confraternellement.</w:t>
                                    </w:r>
                                  </w:p>
                                  <w:p w14:paraId="2A48FCB5" w14:textId="77777777" w:rsidR="0072241D" w:rsidRDefault="0072241D" w:rsidP="0072241D"/>
                                  <w:p w14:paraId="55068D4E" w14:textId="48B0D7F5" w:rsidR="0072241D" w:rsidRPr="0072241D" w:rsidRDefault="0072241D" w:rsidP="0072241D">
                                    <w:r w:rsidRPr="0072241D">
                                      <w:rPr>
                                        <w:i/>
                                        <w:iCs/>
                                      </w:rPr>
                                      <w:t>Les conseillers de l'Ordre</w:t>
                                    </w:r>
                                  </w:p>
                                </w:tc>
                              </w:tr>
                            </w:tbl>
                            <w:p w14:paraId="623EAC73" w14:textId="77777777" w:rsidR="0072241D" w:rsidRPr="0072241D" w:rsidRDefault="0072241D" w:rsidP="0072241D"/>
                          </w:tc>
                        </w:tr>
                      </w:tbl>
                      <w:p w14:paraId="2B410AF7" w14:textId="77777777" w:rsidR="0072241D" w:rsidRPr="0072241D" w:rsidRDefault="0072241D" w:rsidP="0072241D"/>
                    </w:tc>
                  </w:tr>
                </w:tbl>
                <w:p w14:paraId="508FB798" w14:textId="77777777" w:rsidR="0072241D" w:rsidRPr="0072241D" w:rsidRDefault="0072241D" w:rsidP="0072241D"/>
              </w:tc>
            </w:tr>
          </w:tbl>
          <w:p w14:paraId="259BB454" w14:textId="77777777" w:rsidR="0072241D" w:rsidRPr="0072241D" w:rsidRDefault="0072241D" w:rsidP="0072241D"/>
        </w:tc>
      </w:tr>
    </w:tbl>
    <w:p w14:paraId="39EC5DB8" w14:textId="77777777" w:rsidR="0055615A" w:rsidRDefault="0055615A"/>
    <w:sectPr w:rsidR="005561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35704"/>
    <w:rsid w:val="000818E3"/>
    <w:rsid w:val="004A17B0"/>
    <w:rsid w:val="0055615A"/>
    <w:rsid w:val="0072241D"/>
    <w:rsid w:val="00B85E1E"/>
    <w:rsid w:val="00CA5353"/>
    <w:rsid w:val="00D357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DC879"/>
  <w15:chartTrackingRefBased/>
  <w15:docId w15:val="{E48A2360-D36C-47A1-AD9F-F01266C18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357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D357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D35704"/>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D35704"/>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D35704"/>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D3570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3570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3570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3570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35704"/>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D35704"/>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D35704"/>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D35704"/>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D35704"/>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D3570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3570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3570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35704"/>
    <w:rPr>
      <w:rFonts w:eastAsiaTheme="majorEastAsia" w:cstheme="majorBidi"/>
      <w:color w:val="272727" w:themeColor="text1" w:themeTint="D8"/>
    </w:rPr>
  </w:style>
  <w:style w:type="paragraph" w:styleId="Titre">
    <w:name w:val="Title"/>
    <w:basedOn w:val="Normal"/>
    <w:next w:val="Normal"/>
    <w:link w:val="TitreCar"/>
    <w:uiPriority w:val="10"/>
    <w:qFormat/>
    <w:rsid w:val="00D357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3570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3570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3570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35704"/>
    <w:pPr>
      <w:spacing w:before="160"/>
      <w:jc w:val="center"/>
    </w:pPr>
    <w:rPr>
      <w:i/>
      <w:iCs/>
      <w:color w:val="404040" w:themeColor="text1" w:themeTint="BF"/>
    </w:rPr>
  </w:style>
  <w:style w:type="character" w:customStyle="1" w:styleId="CitationCar">
    <w:name w:val="Citation Car"/>
    <w:basedOn w:val="Policepardfaut"/>
    <w:link w:val="Citation"/>
    <w:uiPriority w:val="29"/>
    <w:rsid w:val="00D35704"/>
    <w:rPr>
      <w:i/>
      <w:iCs/>
      <w:color w:val="404040" w:themeColor="text1" w:themeTint="BF"/>
    </w:rPr>
  </w:style>
  <w:style w:type="paragraph" w:styleId="Paragraphedeliste">
    <w:name w:val="List Paragraph"/>
    <w:basedOn w:val="Normal"/>
    <w:uiPriority w:val="34"/>
    <w:qFormat/>
    <w:rsid w:val="00D35704"/>
    <w:pPr>
      <w:ind w:left="720"/>
      <w:contextualSpacing/>
    </w:pPr>
  </w:style>
  <w:style w:type="character" w:styleId="Accentuationintense">
    <w:name w:val="Intense Emphasis"/>
    <w:basedOn w:val="Policepardfaut"/>
    <w:uiPriority w:val="21"/>
    <w:qFormat/>
    <w:rsid w:val="00D35704"/>
    <w:rPr>
      <w:i/>
      <w:iCs/>
      <w:color w:val="2F5496" w:themeColor="accent1" w:themeShade="BF"/>
    </w:rPr>
  </w:style>
  <w:style w:type="paragraph" w:styleId="Citationintense">
    <w:name w:val="Intense Quote"/>
    <w:basedOn w:val="Normal"/>
    <w:next w:val="Normal"/>
    <w:link w:val="CitationintenseCar"/>
    <w:uiPriority w:val="30"/>
    <w:qFormat/>
    <w:rsid w:val="00D357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D35704"/>
    <w:rPr>
      <w:i/>
      <w:iCs/>
      <w:color w:val="2F5496" w:themeColor="accent1" w:themeShade="BF"/>
    </w:rPr>
  </w:style>
  <w:style w:type="character" w:styleId="Rfrenceintense">
    <w:name w:val="Intense Reference"/>
    <w:basedOn w:val="Policepardfaut"/>
    <w:uiPriority w:val="32"/>
    <w:qFormat/>
    <w:rsid w:val="00D357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763781">
      <w:bodyDiv w:val="1"/>
      <w:marLeft w:val="0"/>
      <w:marRight w:val="0"/>
      <w:marTop w:val="0"/>
      <w:marBottom w:val="0"/>
      <w:divBdr>
        <w:top w:val="none" w:sz="0" w:space="0" w:color="auto"/>
        <w:left w:val="none" w:sz="0" w:space="0" w:color="auto"/>
        <w:bottom w:val="none" w:sz="0" w:space="0" w:color="auto"/>
        <w:right w:val="none" w:sz="0" w:space="0" w:color="auto"/>
      </w:divBdr>
    </w:div>
    <w:div w:id="148131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1390</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L.</dc:creator>
  <cp:keywords/>
  <dc:description/>
  <cp:lastModifiedBy>Axel L.</cp:lastModifiedBy>
  <cp:revision>3</cp:revision>
  <dcterms:created xsi:type="dcterms:W3CDTF">2025-03-18T16:41:00Z</dcterms:created>
  <dcterms:modified xsi:type="dcterms:W3CDTF">2025-03-18T16:42:00Z</dcterms:modified>
</cp:coreProperties>
</file>